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961A1" w14:textId="77777777" w:rsidR="002C2E29" w:rsidRPr="00E635A2" w:rsidRDefault="004033D8" w:rsidP="00E635A2">
      <w:pPr>
        <w:jc w:val="right"/>
        <w:rPr>
          <w:b/>
          <w:bCs/>
          <w:sz w:val="20"/>
          <w:szCs w:val="20"/>
        </w:rPr>
      </w:pPr>
      <w:bookmarkStart w:id="0" w:name="_GoBack"/>
      <w:bookmarkEnd w:id="0"/>
      <w:r w:rsidRPr="00E635A2">
        <w:rPr>
          <w:rFonts w:hint="cs"/>
          <w:sz w:val="20"/>
          <w:szCs w:val="20"/>
          <w:rtl/>
        </w:rPr>
        <w:t xml:space="preserve">מספר פנימי: </w:t>
      </w:r>
      <w:bookmarkStart w:id="1" w:name="LGS_Internal_ID"/>
      <w:r>
        <w:rPr>
          <w:rFonts w:hint="cs"/>
          <w:sz w:val="20"/>
          <w:szCs w:val="20"/>
          <w:rtl/>
        </w:rPr>
        <w:t>2224634</w:t>
      </w:r>
      <w:bookmarkEnd w:id="1"/>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2" w:name="LGS_Knesset_Num"/>
      <w:r>
        <w:rPr>
          <w:rFonts w:hint="cs"/>
          <w:sz w:val="28"/>
          <w:szCs w:val="28"/>
          <w:rtl/>
        </w:rPr>
        <w:t>העשרים וחמש</w:t>
      </w:r>
      <w:bookmarkEnd w:id="2"/>
    </w:p>
    <w:p w14:paraId="7F6961A3" w14:textId="77777777" w:rsidR="00E13C27" w:rsidRPr="00F67051" w:rsidRDefault="00E13C27" w:rsidP="00E13C27">
      <w:pPr>
        <w:rPr>
          <w:b/>
          <w:bCs/>
          <w:sz w:val="26"/>
          <w:szCs w:val="26"/>
          <w:rtl/>
        </w:rPr>
      </w:pPr>
    </w:p>
    <w:p w14:paraId="7F6961AA" w14:textId="7E771526" w:rsidR="00E13C27" w:rsidRPr="00CF1AA2" w:rsidRDefault="008F6665" w:rsidP="009921FB">
      <w:pPr>
        <w:pStyle w:val="David"/>
        <w:spacing w:before="102"/>
        <w:ind w:left="3544"/>
        <w:rPr>
          <w:b/>
          <w:bCs/>
          <w:sz w:val="16"/>
          <w:szCs w:val="16"/>
          <w:rtl/>
        </w:rPr>
      </w:pPr>
      <w:bookmarkStart w:id="3" w:name="LGS_Initiators_List"/>
      <w:r>
        <w:rPr>
          <w:b/>
          <w:bCs/>
          <w:rtl/>
        </w:rPr>
        <w:t>יוזם:</w:t>
      </w:r>
      <w:r>
        <w:tab/>
      </w:r>
      <w:r>
        <w:rPr>
          <w:b/>
          <w:bCs/>
          <w:rtl/>
        </w:rPr>
        <w:t xml:space="preserve">      חבר הכנסת</w:t>
      </w:r>
      <w:bookmarkEnd w:id="3"/>
      <w:r w:rsidR="00B35784" w:rsidRPr="00F67051">
        <w:rPr>
          <w:b/>
          <w:bCs/>
        </w:rPr>
        <w:tab/>
      </w:r>
      <w:bookmarkStart w:id="4" w:name="LGS_PM_Names"/>
      <w:r>
        <w:rPr>
          <w:rFonts w:hint="cs"/>
          <w:b/>
          <w:bCs/>
          <w:rtl/>
        </w:rPr>
        <w:t xml:space="preserve">אריאל </w:t>
      </w:r>
      <w:proofErr w:type="spellStart"/>
      <w:r>
        <w:rPr>
          <w:rFonts w:hint="cs"/>
          <w:b/>
          <w:bCs/>
          <w:rtl/>
        </w:rPr>
        <w:t>קלנר</w:t>
      </w:r>
      <w:bookmarkStart w:id="5" w:name="LGS_Join_List"/>
      <w:bookmarkEnd w:id="4"/>
      <w:proofErr w:type="spellEnd"/>
      <w:r w:rsidR="007D585A">
        <w:rPr>
          <w:rtl/>
        </w:rPr>
        <w:t xml:space="preserve"> </w:t>
      </w:r>
      <w:bookmarkEnd w:id="5"/>
      <w:r w:rsidR="002200A1" w:rsidRPr="00CF1AA2">
        <w:rPr>
          <w:rFonts w:hint="cs"/>
          <w:rtl/>
        </w:rPr>
        <w:tab/>
      </w:r>
      <w:bookmarkStart w:id="6" w:name="LGS_PM_NamesJoin"/>
      <w:r w:rsidR="007D585A">
        <w:rPr>
          <w:rFonts w:hint="cs"/>
          <w:rtl/>
        </w:rPr>
        <w:t xml:space="preserve"> </w:t>
      </w:r>
      <w:bookmarkEnd w:id="6"/>
    </w:p>
    <w:p w14:paraId="34DB4103" w14:textId="77777777" w:rsidR="00904591" w:rsidRPr="00904591" w:rsidRDefault="00266D86" w:rsidP="0036422C">
      <w:pPr>
        <w:pStyle w:val="David"/>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1665DE81" w:rsidR="00E13C27" w:rsidRPr="00E06736" w:rsidRDefault="00904591" w:rsidP="009921FB">
      <w:pPr>
        <w:pStyle w:val="David"/>
        <w:spacing w:line="240" w:lineRule="auto"/>
        <w:ind w:left="6424" w:firstLine="56"/>
        <w:rPr>
          <w:rtl/>
        </w:rPr>
      </w:pPr>
      <w:bookmarkStart w:id="7" w:name="Private_Number"/>
      <w:r>
        <w:rPr>
          <w:rFonts w:hint="cs"/>
          <w:rtl/>
        </w:rPr>
        <w:t>פ/5222/25</w:t>
      </w:r>
      <w:bookmarkEnd w:id="7"/>
    </w:p>
    <w:p w14:paraId="7F6961AC" w14:textId="77777777" w:rsidR="00E13C27" w:rsidRDefault="00E13C27" w:rsidP="00E13C27">
      <w:pPr>
        <w:ind w:left="2880" w:firstLine="720"/>
        <w:rPr>
          <w:sz w:val="26"/>
          <w:szCs w:val="26"/>
          <w:rtl/>
        </w:rPr>
      </w:pPr>
    </w:p>
    <w:p w14:paraId="7F6961AD" w14:textId="196D0405" w:rsidR="00E13C27" w:rsidRDefault="00E13C27" w:rsidP="00CA4DB1">
      <w:pPr>
        <w:keepNext/>
        <w:keepLines/>
        <w:snapToGrid w:val="0"/>
        <w:spacing w:before="240"/>
        <w:jc w:val="center"/>
        <w:outlineLvl w:val="0"/>
        <w:rPr>
          <w:rFonts w:ascii="Arial" w:eastAsia="Arial Unicode MS" w:hAnsi="Arial"/>
          <w:b/>
          <w:bCs/>
          <w:snapToGrid w:val="0"/>
          <w:sz w:val="20"/>
          <w:szCs w:val="26"/>
          <w:rtl/>
        </w:rPr>
      </w:pPr>
      <w:bookmarkStart w:id="8" w:name="LGS_Subject"/>
      <w:r>
        <w:rPr>
          <w:rFonts w:ascii="Arial" w:eastAsia="Arial Unicode MS" w:hAnsi="Arial" w:hint="cs"/>
          <w:b/>
          <w:bCs/>
          <w:snapToGrid w:val="0"/>
          <w:sz w:val="20"/>
          <w:szCs w:val="26"/>
          <w:rtl/>
        </w:rPr>
        <w:t xml:space="preserve">הצעת חוק העמותות (תיקון – תרומה מישות מדינית זרה), </w:t>
      </w:r>
      <w:proofErr w:type="spellStart"/>
      <w:r>
        <w:rPr>
          <w:rFonts w:ascii="Arial" w:eastAsia="Arial Unicode MS" w:hAnsi="Arial" w:hint="cs"/>
          <w:b/>
          <w:bCs/>
          <w:snapToGrid w:val="0"/>
          <w:sz w:val="20"/>
          <w:szCs w:val="26"/>
          <w:rtl/>
        </w:rPr>
        <w:t>התשפ"ה</w:t>
      </w:r>
      <w:proofErr w:type="spellEnd"/>
      <w:r>
        <w:rPr>
          <w:rFonts w:ascii="Arial" w:eastAsia="Arial Unicode MS" w:hAnsi="Arial" w:hint="cs"/>
          <w:b/>
          <w:bCs/>
          <w:snapToGrid w:val="0"/>
          <w:sz w:val="20"/>
          <w:szCs w:val="26"/>
          <w:rtl/>
        </w:rPr>
        <w:t>–2024</w:t>
      </w:r>
      <w:bookmarkEnd w:id="8"/>
    </w:p>
    <w:p w14:paraId="2333C82C" w14:textId="77777777" w:rsidR="006C76B5" w:rsidRPr="001A775E" w:rsidRDefault="006C76B5" w:rsidP="006C76B5">
      <w:pPr>
        <w:snapToGrid w:val="0"/>
        <w:jc w:val="center"/>
        <w:outlineLvl w:val="1"/>
        <w:rPr>
          <w:rFonts w:ascii="Arial" w:eastAsia="Arial Unicode MS" w:hAnsi="Arial"/>
          <w:b/>
          <w:snapToGrid w:val="0"/>
          <w:spacing w:val="40"/>
          <w:sz w:val="20"/>
          <w:szCs w:val="26"/>
          <w:rtl/>
        </w:rPr>
      </w:pPr>
    </w:p>
    <w:tbl>
      <w:tblPr>
        <w:bidiVisual/>
        <w:tblW w:w="9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0" w:type="dxa"/>
          <w:bottom w:w="57" w:type="dxa"/>
          <w:right w:w="0" w:type="dxa"/>
        </w:tblCellMar>
        <w:tblLook w:val="0000" w:firstRow="0" w:lastRow="0" w:firstColumn="0" w:lastColumn="0" w:noHBand="0" w:noVBand="0"/>
      </w:tblPr>
      <w:tblGrid>
        <w:gridCol w:w="1870"/>
        <w:gridCol w:w="624"/>
        <w:gridCol w:w="7143"/>
      </w:tblGrid>
      <w:tr w:rsidR="006C76B5" w:rsidRPr="001A775E" w14:paraId="4BF3DD88" w14:textId="77777777" w:rsidTr="009921FB">
        <w:trPr>
          <w:cantSplit/>
        </w:trPr>
        <w:tc>
          <w:tcPr>
            <w:tcW w:w="1870" w:type="dxa"/>
            <w:tcBorders>
              <w:top w:val="nil"/>
              <w:left w:val="nil"/>
              <w:bottom w:val="nil"/>
              <w:right w:val="nil"/>
            </w:tcBorders>
          </w:tcPr>
          <w:p w14:paraId="1492F99B" w14:textId="77777777" w:rsidR="006C76B5" w:rsidRPr="009921FB" w:rsidRDefault="006C76B5" w:rsidP="009921FB">
            <w:pPr>
              <w:pStyle w:val="TableSideHeading"/>
              <w:outlineLvl w:val="9"/>
            </w:pPr>
            <w:r w:rsidRPr="009921FB">
              <w:rPr>
                <w:rtl/>
              </w:rPr>
              <w:t xml:space="preserve">תיקון סעיף </w:t>
            </w:r>
            <w:r w:rsidRPr="009921FB">
              <w:rPr>
                <w:rFonts w:hint="cs"/>
                <w:rtl/>
              </w:rPr>
              <w:t>36א</w:t>
            </w:r>
          </w:p>
        </w:tc>
        <w:tc>
          <w:tcPr>
            <w:tcW w:w="624" w:type="dxa"/>
            <w:tcBorders>
              <w:top w:val="nil"/>
              <w:left w:val="nil"/>
              <w:bottom w:val="nil"/>
              <w:right w:val="nil"/>
            </w:tcBorders>
          </w:tcPr>
          <w:p w14:paraId="657E7CEF" w14:textId="77777777" w:rsidR="006C76B5" w:rsidRPr="009921FB" w:rsidRDefault="006C76B5" w:rsidP="009921FB">
            <w:pPr>
              <w:pStyle w:val="TableText"/>
              <w:jc w:val="both"/>
            </w:pPr>
            <w:r w:rsidRPr="009921FB">
              <w:rPr>
                <w:rFonts w:hint="cs"/>
                <w:rtl/>
              </w:rPr>
              <w:t>1</w:t>
            </w:r>
            <w:r w:rsidRPr="009921FB">
              <w:t>.</w:t>
            </w:r>
          </w:p>
        </w:tc>
        <w:tc>
          <w:tcPr>
            <w:tcW w:w="7143" w:type="dxa"/>
            <w:tcBorders>
              <w:top w:val="nil"/>
              <w:left w:val="nil"/>
              <w:bottom w:val="nil"/>
              <w:right w:val="nil"/>
            </w:tcBorders>
          </w:tcPr>
          <w:p w14:paraId="408BBD8F" w14:textId="77777777" w:rsidR="006C76B5" w:rsidRPr="009921FB" w:rsidRDefault="006C76B5" w:rsidP="009921FB">
            <w:pPr>
              <w:pStyle w:val="TableBlock"/>
            </w:pPr>
            <w:r w:rsidRPr="009921FB">
              <w:rPr>
                <w:rFonts w:hint="cs"/>
                <w:rtl/>
              </w:rPr>
              <w:t xml:space="preserve">בחוק העמותות, </w:t>
            </w:r>
            <w:proofErr w:type="spellStart"/>
            <w:r w:rsidRPr="009921FB">
              <w:rPr>
                <w:rFonts w:hint="cs"/>
                <w:rtl/>
              </w:rPr>
              <w:t>התש"ם</w:t>
            </w:r>
            <w:proofErr w:type="spellEnd"/>
            <w:r w:rsidRPr="009921FB">
              <w:rPr>
                <w:rFonts w:hint="eastAsia"/>
                <w:rtl/>
              </w:rPr>
              <w:t>–</w:t>
            </w:r>
            <w:r w:rsidRPr="009921FB">
              <w:rPr>
                <w:rFonts w:hint="cs"/>
                <w:rtl/>
              </w:rPr>
              <w:t>1980</w:t>
            </w:r>
            <w:r w:rsidRPr="009921FB">
              <w:rPr>
                <w:rFonts w:ascii="David" w:hAnsi="David"/>
                <w:sz w:val="26"/>
                <w:vertAlign w:val="superscript"/>
                <w:rtl/>
              </w:rPr>
              <w:footnoteReference w:id="2"/>
            </w:r>
            <w:r w:rsidRPr="009921FB">
              <w:rPr>
                <w:rFonts w:hint="cs"/>
                <w:rtl/>
              </w:rPr>
              <w:t xml:space="preserve">, בסעיף 36א, בסופו יבוא: </w:t>
            </w:r>
            <w:r w:rsidRPr="009921FB">
              <w:rPr>
                <w:rtl/>
              </w:rPr>
              <w:t xml:space="preserve"> </w:t>
            </w:r>
          </w:p>
        </w:tc>
      </w:tr>
      <w:tr w:rsidR="006C76B5" w:rsidRPr="001A775E" w14:paraId="0F24F3DC" w14:textId="77777777" w:rsidTr="009921FB">
        <w:trPr>
          <w:cantSplit/>
        </w:trPr>
        <w:tc>
          <w:tcPr>
            <w:tcW w:w="1870" w:type="dxa"/>
            <w:tcBorders>
              <w:top w:val="nil"/>
              <w:left w:val="nil"/>
              <w:bottom w:val="nil"/>
              <w:right w:val="nil"/>
            </w:tcBorders>
          </w:tcPr>
          <w:p w14:paraId="6586884A" w14:textId="77777777" w:rsidR="006C76B5" w:rsidRPr="009921FB" w:rsidRDefault="006C76B5" w:rsidP="009921FB">
            <w:pPr>
              <w:pStyle w:val="TableSideHeading"/>
              <w:outlineLvl w:val="9"/>
              <w:rPr>
                <w:rtl/>
              </w:rPr>
            </w:pPr>
          </w:p>
        </w:tc>
        <w:tc>
          <w:tcPr>
            <w:tcW w:w="624" w:type="dxa"/>
            <w:tcBorders>
              <w:top w:val="nil"/>
              <w:left w:val="nil"/>
              <w:bottom w:val="nil"/>
              <w:right w:val="nil"/>
            </w:tcBorders>
          </w:tcPr>
          <w:p w14:paraId="75276F92" w14:textId="77777777" w:rsidR="006C76B5" w:rsidRPr="001A775E" w:rsidRDefault="006C76B5" w:rsidP="00524EEB">
            <w:pPr>
              <w:pStyle w:val="TableText"/>
              <w:rPr>
                <w:rtl/>
              </w:rPr>
            </w:pPr>
          </w:p>
        </w:tc>
        <w:tc>
          <w:tcPr>
            <w:tcW w:w="7143" w:type="dxa"/>
            <w:tcBorders>
              <w:top w:val="nil"/>
              <w:left w:val="nil"/>
              <w:bottom w:val="nil"/>
              <w:right w:val="nil"/>
            </w:tcBorders>
          </w:tcPr>
          <w:p w14:paraId="04F03B70" w14:textId="1C64C3EB" w:rsidR="006C76B5" w:rsidRPr="009921FB" w:rsidRDefault="006C76B5" w:rsidP="009921FB">
            <w:pPr>
              <w:pStyle w:val="TableBlock"/>
              <w:rPr>
                <w:rtl/>
              </w:rPr>
            </w:pPr>
            <w:r w:rsidRPr="009921FB">
              <w:rPr>
                <w:rFonts w:hint="cs"/>
                <w:rtl/>
              </w:rPr>
              <w:t>"(ד)</w:t>
            </w:r>
            <w:r w:rsidRPr="009921FB">
              <w:rPr>
                <w:rtl/>
              </w:rPr>
              <w:tab/>
            </w:r>
            <w:r w:rsidRPr="009921FB">
              <w:rPr>
                <w:rFonts w:hint="cs"/>
                <w:rtl/>
              </w:rPr>
              <w:t>תרומה שקיבלה עמותה משות מדינית זרה, תהיה חייבת במס בשיעור של 80%; שר האוצר, באישור ועדת הכספים של הכנסת, רשאי לקבוע פט</w:t>
            </w:r>
            <w:r w:rsidR="009921FB">
              <w:rPr>
                <w:rFonts w:hint="cs"/>
                <w:rtl/>
              </w:rPr>
              <w:t>ור מתרומה כאמור בנסיבות מיוחדות.</w:t>
            </w:r>
          </w:p>
        </w:tc>
      </w:tr>
      <w:tr w:rsidR="006C76B5" w:rsidRPr="001A775E" w14:paraId="4337C8CA" w14:textId="77777777" w:rsidTr="009921FB">
        <w:trPr>
          <w:cantSplit/>
        </w:trPr>
        <w:tc>
          <w:tcPr>
            <w:tcW w:w="1870" w:type="dxa"/>
            <w:tcBorders>
              <w:top w:val="nil"/>
              <w:left w:val="nil"/>
              <w:bottom w:val="nil"/>
              <w:right w:val="nil"/>
            </w:tcBorders>
          </w:tcPr>
          <w:p w14:paraId="17ABECEE" w14:textId="77777777" w:rsidR="006C76B5" w:rsidRPr="009921FB" w:rsidRDefault="006C76B5" w:rsidP="009921FB">
            <w:pPr>
              <w:pStyle w:val="TableSideHeading"/>
              <w:outlineLvl w:val="9"/>
              <w:rPr>
                <w:rtl/>
              </w:rPr>
            </w:pPr>
          </w:p>
        </w:tc>
        <w:tc>
          <w:tcPr>
            <w:tcW w:w="624" w:type="dxa"/>
            <w:tcBorders>
              <w:top w:val="nil"/>
              <w:left w:val="nil"/>
              <w:bottom w:val="nil"/>
              <w:right w:val="nil"/>
            </w:tcBorders>
          </w:tcPr>
          <w:p w14:paraId="39AD2E2B" w14:textId="77777777" w:rsidR="006C76B5" w:rsidRPr="001A775E" w:rsidRDefault="006C76B5" w:rsidP="00524EEB">
            <w:pPr>
              <w:pStyle w:val="TableText"/>
              <w:rPr>
                <w:rtl/>
              </w:rPr>
            </w:pPr>
          </w:p>
        </w:tc>
        <w:tc>
          <w:tcPr>
            <w:tcW w:w="7143" w:type="dxa"/>
            <w:tcBorders>
              <w:top w:val="nil"/>
              <w:left w:val="nil"/>
              <w:bottom w:val="nil"/>
              <w:right w:val="nil"/>
            </w:tcBorders>
          </w:tcPr>
          <w:p w14:paraId="43D0FAF1" w14:textId="38C83CE6" w:rsidR="006C76B5" w:rsidRPr="009921FB" w:rsidRDefault="006C76B5" w:rsidP="009921FB">
            <w:pPr>
              <w:pStyle w:val="TableBlock"/>
              <w:rPr>
                <w:rtl/>
              </w:rPr>
            </w:pPr>
            <w:r w:rsidRPr="009921FB">
              <w:rPr>
                <w:rFonts w:hint="cs"/>
                <w:rtl/>
              </w:rPr>
              <w:t>(ה)</w:t>
            </w:r>
            <w:r w:rsidRPr="009921FB">
              <w:rPr>
                <w:rtl/>
              </w:rPr>
              <w:tab/>
            </w:r>
            <w:r w:rsidRPr="009921FB">
              <w:rPr>
                <w:rFonts w:hint="cs"/>
                <w:rtl/>
              </w:rPr>
              <w:t>הוראות סעיף קטן (ד) לא יחולו על תרומה למוסד ציבורי, כמשמעותו בסעיף 9(2) לפקודת מס הכנסה, המתוקצב על ידי המדינה או תרומה למוסד ציבורי כאמור שמחזורו השנתי א</w:t>
            </w:r>
            <w:r w:rsidR="009921FB">
              <w:rPr>
                <w:rFonts w:hint="cs"/>
                <w:rtl/>
              </w:rPr>
              <w:t>ינו עולה על 100,000 שקלים חדשים.</w:t>
            </w:r>
          </w:p>
        </w:tc>
      </w:tr>
      <w:tr w:rsidR="006C76B5" w:rsidRPr="001A775E" w14:paraId="7C603A62" w14:textId="77777777" w:rsidTr="009921FB">
        <w:trPr>
          <w:cantSplit/>
        </w:trPr>
        <w:tc>
          <w:tcPr>
            <w:tcW w:w="1870" w:type="dxa"/>
            <w:tcBorders>
              <w:top w:val="nil"/>
              <w:left w:val="nil"/>
              <w:bottom w:val="nil"/>
              <w:right w:val="nil"/>
            </w:tcBorders>
          </w:tcPr>
          <w:p w14:paraId="4E1ED409" w14:textId="77777777" w:rsidR="006C76B5" w:rsidRPr="009921FB" w:rsidRDefault="006C76B5" w:rsidP="009921FB">
            <w:pPr>
              <w:pStyle w:val="TableSideHeading"/>
              <w:outlineLvl w:val="9"/>
              <w:rPr>
                <w:rtl/>
              </w:rPr>
            </w:pPr>
          </w:p>
        </w:tc>
        <w:tc>
          <w:tcPr>
            <w:tcW w:w="624" w:type="dxa"/>
            <w:tcBorders>
              <w:top w:val="nil"/>
              <w:left w:val="nil"/>
              <w:bottom w:val="nil"/>
              <w:right w:val="nil"/>
            </w:tcBorders>
          </w:tcPr>
          <w:p w14:paraId="0FB93144" w14:textId="77777777" w:rsidR="006C76B5" w:rsidRPr="001A775E" w:rsidRDefault="006C76B5" w:rsidP="00524EEB">
            <w:pPr>
              <w:pStyle w:val="TableText"/>
              <w:rPr>
                <w:rtl/>
              </w:rPr>
            </w:pPr>
          </w:p>
        </w:tc>
        <w:tc>
          <w:tcPr>
            <w:tcW w:w="7143" w:type="dxa"/>
            <w:tcBorders>
              <w:top w:val="nil"/>
              <w:left w:val="nil"/>
              <w:bottom w:val="nil"/>
              <w:right w:val="nil"/>
            </w:tcBorders>
          </w:tcPr>
          <w:p w14:paraId="4EA3C8EE" w14:textId="77777777" w:rsidR="006C76B5" w:rsidRPr="009921FB" w:rsidRDefault="006C76B5" w:rsidP="009921FB">
            <w:pPr>
              <w:pStyle w:val="TableBlock"/>
              <w:rPr>
                <w:rtl/>
              </w:rPr>
            </w:pPr>
            <w:r w:rsidRPr="009921FB">
              <w:rPr>
                <w:rFonts w:hint="cs"/>
                <w:rtl/>
              </w:rPr>
              <w:t>(ו)</w:t>
            </w:r>
            <w:r w:rsidRPr="009921FB">
              <w:rPr>
                <w:rtl/>
              </w:rPr>
              <w:tab/>
              <w:t xml:space="preserve">לא ייזקק בית המשפט לבקשה </w:t>
            </w:r>
            <w:r w:rsidRPr="009921FB">
              <w:rPr>
                <w:rFonts w:hint="cs"/>
                <w:rtl/>
              </w:rPr>
              <w:t>שהוגשה על ידי עמותה שעיקר מימונה מישות מדינית זרה, אם אינה מתוקצבת על ידי המדינה."</w:t>
            </w:r>
          </w:p>
        </w:tc>
      </w:tr>
    </w:tbl>
    <w:p w14:paraId="12ACBF56" w14:textId="77777777" w:rsidR="006C76B5" w:rsidRDefault="006C76B5" w:rsidP="006C76B5">
      <w:pPr>
        <w:snapToGrid w:val="0"/>
        <w:spacing w:before="360" w:after="120"/>
        <w:jc w:val="center"/>
        <w:outlineLvl w:val="1"/>
        <w:rPr>
          <w:rFonts w:ascii="Arial" w:eastAsia="Arial Unicode MS" w:hAnsi="Arial"/>
          <w:b/>
          <w:snapToGrid w:val="0"/>
          <w:spacing w:val="40"/>
          <w:sz w:val="20"/>
          <w:szCs w:val="26"/>
          <w:rtl/>
        </w:rPr>
      </w:pPr>
    </w:p>
    <w:p w14:paraId="0834F1EE" w14:textId="77777777" w:rsidR="006C76B5" w:rsidRPr="001A775E" w:rsidRDefault="006C76B5" w:rsidP="006C76B5">
      <w:pPr>
        <w:snapToGrid w:val="0"/>
        <w:spacing w:before="360" w:after="120"/>
        <w:jc w:val="center"/>
        <w:outlineLvl w:val="1"/>
        <w:rPr>
          <w:rFonts w:ascii="Arial" w:eastAsia="Arial Unicode MS" w:hAnsi="Arial"/>
          <w:b/>
          <w:snapToGrid w:val="0"/>
          <w:spacing w:val="40"/>
          <w:sz w:val="20"/>
          <w:szCs w:val="26"/>
          <w:rtl/>
        </w:rPr>
      </w:pPr>
      <w:r w:rsidRPr="001A775E">
        <w:rPr>
          <w:rFonts w:ascii="Arial" w:eastAsia="Arial Unicode MS" w:hAnsi="Arial" w:hint="cs"/>
          <w:b/>
          <w:snapToGrid w:val="0"/>
          <w:spacing w:val="40"/>
          <w:sz w:val="20"/>
          <w:szCs w:val="26"/>
          <w:rtl/>
        </w:rPr>
        <w:t>דברי הסבר</w:t>
      </w:r>
    </w:p>
    <w:p w14:paraId="7231E6F6" w14:textId="5579E679" w:rsidR="006C76B5" w:rsidRPr="009B09BF" w:rsidRDefault="006C76B5" w:rsidP="006A3194">
      <w:pPr>
        <w:pStyle w:val="Hesber"/>
        <w:spacing w:line="240" w:lineRule="auto"/>
        <w:rPr>
          <w:rtl/>
        </w:rPr>
      </w:pPr>
      <w:r w:rsidRPr="009B09BF">
        <w:rPr>
          <w:rFonts w:hint="cs"/>
          <w:rtl/>
        </w:rPr>
        <w:t xml:space="preserve">מטרת </w:t>
      </w:r>
      <w:r w:rsidRPr="009B09BF">
        <w:rPr>
          <w:rtl/>
        </w:rPr>
        <w:t xml:space="preserve">הצעת חוק </w:t>
      </w:r>
      <w:r w:rsidRPr="009B09BF">
        <w:rPr>
          <w:rFonts w:hint="cs"/>
          <w:rtl/>
        </w:rPr>
        <w:t xml:space="preserve">זו, היא </w:t>
      </w:r>
      <w:r w:rsidRPr="009B09BF">
        <w:rPr>
          <w:rtl/>
        </w:rPr>
        <w:t>לצמצם את</w:t>
      </w:r>
      <w:r w:rsidRPr="009B09BF">
        <w:rPr>
          <w:rFonts w:hint="cs"/>
          <w:rtl/>
        </w:rPr>
        <w:t xml:space="preserve"> השפעתן העקיפה של ממשלות ו</w:t>
      </w:r>
      <w:r w:rsidRPr="009B09BF">
        <w:rPr>
          <w:rtl/>
        </w:rPr>
        <w:t>ישויות מדיניות זרות</w:t>
      </w:r>
      <w:r w:rsidRPr="009B09BF">
        <w:rPr>
          <w:rFonts w:hint="cs"/>
          <w:rtl/>
        </w:rPr>
        <w:t xml:space="preserve"> על מדינת ישראל. השפעה </w:t>
      </w:r>
      <w:r w:rsidR="00B619EB">
        <w:rPr>
          <w:rFonts w:hint="cs"/>
          <w:rtl/>
        </w:rPr>
        <w:t xml:space="preserve">זו </w:t>
      </w:r>
      <w:r w:rsidRPr="009B09BF">
        <w:rPr>
          <w:rFonts w:hint="cs"/>
          <w:rtl/>
        </w:rPr>
        <w:t>מתבטאת, בין היתר, ב</w:t>
      </w:r>
      <w:r w:rsidRPr="009B09BF">
        <w:rPr>
          <w:rtl/>
        </w:rPr>
        <w:t xml:space="preserve">תמיכה כספית </w:t>
      </w:r>
      <w:r w:rsidRPr="009B09BF">
        <w:rPr>
          <w:rFonts w:hint="cs"/>
          <w:rtl/>
        </w:rPr>
        <w:t xml:space="preserve">ישירה </w:t>
      </w:r>
      <w:r w:rsidRPr="009B09BF">
        <w:rPr>
          <w:rtl/>
        </w:rPr>
        <w:t>בעמותות</w:t>
      </w:r>
      <w:r w:rsidRPr="009B09BF">
        <w:rPr>
          <w:rFonts w:hint="cs"/>
          <w:rtl/>
        </w:rPr>
        <w:t xml:space="preserve"> </w:t>
      </w:r>
      <w:r>
        <w:rPr>
          <w:rFonts w:hint="cs"/>
          <w:rtl/>
        </w:rPr>
        <w:t>בישראל</w:t>
      </w:r>
      <w:r w:rsidRPr="009B09BF">
        <w:rPr>
          <w:rFonts w:hint="cs"/>
          <w:rtl/>
        </w:rPr>
        <w:t>, הפועלות כסוכנ</w:t>
      </w:r>
      <w:r>
        <w:rPr>
          <w:rFonts w:hint="cs"/>
          <w:rtl/>
        </w:rPr>
        <w:t>ות</w:t>
      </w:r>
      <w:r w:rsidRPr="009B09BF">
        <w:rPr>
          <w:rFonts w:hint="cs"/>
          <w:rtl/>
        </w:rPr>
        <w:t xml:space="preserve"> שינוי מטעם</w:t>
      </w:r>
      <w:r>
        <w:rPr>
          <w:rFonts w:hint="cs"/>
          <w:rtl/>
        </w:rPr>
        <w:t xml:space="preserve"> ישויות אלה</w:t>
      </w:r>
      <w:r w:rsidRPr="009B09BF">
        <w:rPr>
          <w:rFonts w:hint="cs"/>
          <w:rtl/>
        </w:rPr>
        <w:t xml:space="preserve">. </w:t>
      </w:r>
    </w:p>
    <w:p w14:paraId="7F7671B6" w14:textId="77777777" w:rsidR="006C76B5" w:rsidRPr="009B09BF" w:rsidRDefault="006C76B5" w:rsidP="006A3194">
      <w:pPr>
        <w:pStyle w:val="Hesber"/>
        <w:spacing w:line="240" w:lineRule="auto"/>
        <w:rPr>
          <w:rtl/>
        </w:rPr>
      </w:pPr>
      <w:r w:rsidRPr="009B09BF">
        <w:rPr>
          <w:rFonts w:hint="cs"/>
          <w:rtl/>
        </w:rPr>
        <w:t xml:space="preserve">תופעה זו </w:t>
      </w:r>
      <w:r w:rsidRPr="009B09BF">
        <w:rPr>
          <w:rtl/>
        </w:rPr>
        <w:t xml:space="preserve">חורגת מגבולות </w:t>
      </w:r>
      <w:r w:rsidRPr="009B09BF">
        <w:rPr>
          <w:rFonts w:hint="cs"/>
          <w:rtl/>
        </w:rPr>
        <w:t xml:space="preserve">המסגרת הדמוקרטית ופוגעת בריבונותה ובעצמאותה של המדינה בה הדבר נעשה. אם קיימת מחלוקת בין שתי מדינות או יותר, עליהן לנסות לשכנע האחת את השנייה באמצעים דיפלומטיים, שיח ומשא ומתן בין מקבילים, אך לא באמצעות מימון סוכני שינוי וארגונים אשר מטרתם להוביל </w:t>
      </w:r>
      <w:r>
        <w:rPr>
          <w:rFonts w:hint="cs"/>
          <w:rtl/>
        </w:rPr>
        <w:t xml:space="preserve">שינוי </w:t>
      </w:r>
      <w:r w:rsidRPr="009B09BF">
        <w:rPr>
          <w:rFonts w:hint="cs"/>
          <w:rtl/>
        </w:rPr>
        <w:t xml:space="preserve">מבפנים לטובת האינטרסים הזרים </w:t>
      </w:r>
      <w:r>
        <w:rPr>
          <w:rFonts w:hint="cs"/>
          <w:rtl/>
        </w:rPr>
        <w:t>האמורים</w:t>
      </w:r>
      <w:r w:rsidRPr="009B09BF">
        <w:rPr>
          <w:rFonts w:hint="cs"/>
          <w:rtl/>
        </w:rPr>
        <w:t>.</w:t>
      </w:r>
      <w:r>
        <w:rPr>
          <w:rFonts w:hint="cs"/>
          <w:rtl/>
        </w:rPr>
        <w:t xml:space="preserve"> </w:t>
      </w:r>
    </w:p>
    <w:p w14:paraId="7DF5472D" w14:textId="77777777" w:rsidR="006C76B5" w:rsidRPr="009B09BF" w:rsidRDefault="006C76B5" w:rsidP="006A3194">
      <w:pPr>
        <w:pStyle w:val="Hesber"/>
        <w:spacing w:line="240" w:lineRule="auto"/>
      </w:pPr>
      <w:r w:rsidRPr="009B09BF">
        <w:rPr>
          <w:rFonts w:hint="cs"/>
          <w:rtl/>
        </w:rPr>
        <w:t>התרומות ל</w:t>
      </w:r>
      <w:r w:rsidRPr="009B09BF">
        <w:rPr>
          <w:rtl/>
        </w:rPr>
        <w:t>ארגונים אל</w:t>
      </w:r>
      <w:r w:rsidRPr="009B09BF">
        <w:rPr>
          <w:rFonts w:hint="cs"/>
          <w:rtl/>
        </w:rPr>
        <w:t>ו</w:t>
      </w:r>
      <w:r w:rsidRPr="009B09BF">
        <w:rPr>
          <w:rtl/>
        </w:rPr>
        <w:t>, זכאי</w:t>
      </w:r>
      <w:r w:rsidRPr="009B09BF">
        <w:rPr>
          <w:rFonts w:hint="cs"/>
          <w:rtl/>
        </w:rPr>
        <w:t>ות</w:t>
      </w:r>
      <w:r w:rsidRPr="009B09BF">
        <w:rPr>
          <w:rtl/>
        </w:rPr>
        <w:t xml:space="preserve"> כיום לפטור ממס, על אף שמדינת ישראל אינה יוצאת נשכרת מ</w:t>
      </w:r>
      <w:r w:rsidRPr="009B09BF">
        <w:rPr>
          <w:rFonts w:hint="cs"/>
          <w:rtl/>
        </w:rPr>
        <w:t xml:space="preserve">כך. </w:t>
      </w:r>
    </w:p>
    <w:p w14:paraId="437420E9" w14:textId="45066C43" w:rsidR="006C76B5" w:rsidRPr="006C76B5" w:rsidRDefault="006C76B5" w:rsidP="006A3194">
      <w:pPr>
        <w:pStyle w:val="Hesber"/>
        <w:spacing w:line="240" w:lineRule="auto"/>
        <w:rPr>
          <w:rtl/>
        </w:rPr>
      </w:pPr>
      <w:r w:rsidRPr="009B09BF">
        <w:rPr>
          <w:rFonts w:hint="cs"/>
          <w:rtl/>
        </w:rPr>
        <w:t>על כן</w:t>
      </w:r>
      <w:r>
        <w:rPr>
          <w:rFonts w:hint="cs"/>
          <w:rtl/>
        </w:rPr>
        <w:t>,</w:t>
      </w:r>
      <w:r w:rsidRPr="009B09BF">
        <w:rPr>
          <w:rFonts w:hint="cs"/>
          <w:rtl/>
        </w:rPr>
        <w:t xml:space="preserve"> </w:t>
      </w:r>
      <w:r>
        <w:rPr>
          <w:rFonts w:hint="cs"/>
          <w:rtl/>
        </w:rPr>
        <w:t>ביחס ל</w:t>
      </w:r>
      <w:r w:rsidRPr="009B09BF">
        <w:rPr>
          <w:rFonts w:hint="cs"/>
          <w:rtl/>
        </w:rPr>
        <w:t>ארגונים אשר עיקר מ</w:t>
      </w:r>
      <w:r>
        <w:rPr>
          <w:rFonts w:hint="cs"/>
          <w:rtl/>
        </w:rPr>
        <w:t>י</w:t>
      </w:r>
      <w:r w:rsidRPr="009B09BF">
        <w:rPr>
          <w:rFonts w:hint="cs"/>
          <w:rtl/>
        </w:rPr>
        <w:t>מונם מישויות מדיניות זרות</w:t>
      </w:r>
      <w:r>
        <w:rPr>
          <w:rFonts w:hint="cs"/>
          <w:rtl/>
        </w:rPr>
        <w:t xml:space="preserve"> ואשר אינן מתוקצבות על ידי מדינת ישראל, </w:t>
      </w:r>
      <w:r w:rsidR="00B619EB" w:rsidRPr="009B09BF">
        <w:rPr>
          <w:rFonts w:hint="cs"/>
          <w:rtl/>
        </w:rPr>
        <w:t xml:space="preserve">מוצע </w:t>
      </w:r>
      <w:r>
        <w:rPr>
          <w:rFonts w:hint="cs"/>
          <w:rtl/>
        </w:rPr>
        <w:t>כי</w:t>
      </w:r>
      <w:r w:rsidRPr="009B09BF">
        <w:rPr>
          <w:rFonts w:hint="cs"/>
          <w:rtl/>
        </w:rPr>
        <w:t xml:space="preserve"> יוטל</w:t>
      </w:r>
      <w:r w:rsidRPr="009B09BF">
        <w:rPr>
          <w:rtl/>
        </w:rPr>
        <w:t xml:space="preserve"> עליהם מס בשיעור של </w:t>
      </w:r>
      <w:r w:rsidRPr="009B09BF">
        <w:rPr>
          <w:rFonts w:hint="cs"/>
          <w:rtl/>
        </w:rPr>
        <w:t>80%</w:t>
      </w:r>
      <w:r w:rsidR="007A2722">
        <w:rPr>
          <w:rtl/>
        </w:rPr>
        <w:t xml:space="preserve"> על כל תרומה מ</w:t>
      </w:r>
      <w:r w:rsidR="00B619EB">
        <w:rPr>
          <w:rFonts w:hint="cs"/>
          <w:rtl/>
        </w:rPr>
        <w:t>י</w:t>
      </w:r>
      <w:r w:rsidRPr="009B09BF">
        <w:rPr>
          <w:rtl/>
        </w:rPr>
        <w:t xml:space="preserve">שות מדינית </w:t>
      </w:r>
      <w:r>
        <w:rPr>
          <w:rFonts w:hint="cs"/>
          <w:rtl/>
        </w:rPr>
        <w:t>כאמור</w:t>
      </w:r>
      <w:r w:rsidRPr="009B09BF">
        <w:rPr>
          <w:rtl/>
        </w:rPr>
        <w:t>.</w:t>
      </w:r>
      <w:r>
        <w:t xml:space="preserve"> </w:t>
      </w:r>
      <w:r>
        <w:rPr>
          <w:rFonts w:hint="cs"/>
          <w:rtl/>
        </w:rPr>
        <w:t xml:space="preserve"> בנוסף, מוצע כי בית המשפט לא יזדקק לבקשות אשר הוגשו על ידי עמותה שעיקר מימונה על ידי ישות מדינית כאמור, אם העמותה אינה מתוקצבת על ידי המדינה.</w:t>
      </w:r>
    </w:p>
    <w:p w14:paraId="12F0B6AD" w14:textId="77777777" w:rsidR="00AE0AE3" w:rsidRDefault="007A2722" w:rsidP="006A3194">
      <w:pPr>
        <w:spacing w:line="240" w:lineRule="auto"/>
        <w:jc w:val="left"/>
      </w:pPr>
      <w:bookmarkStart w:id="9" w:name="selectedDocDateB"/>
      <w:bookmarkEnd w:id="9"/>
      <w:r>
        <w:rPr>
          <w:rFonts w:eastAsia="David" w:hint="cs"/>
          <w:sz w:val="26"/>
          <w:szCs w:val="26"/>
          <w:rtl/>
        </w:rPr>
        <w:t>--------------------------------</w:t>
      </w:r>
    </w:p>
    <w:p w14:paraId="379CD793" w14:textId="77777777" w:rsidR="00AE0AE3" w:rsidRDefault="007A2722" w:rsidP="006A3194">
      <w:pPr>
        <w:spacing w:line="240" w:lineRule="auto"/>
        <w:jc w:val="left"/>
      </w:pPr>
      <w:r>
        <w:rPr>
          <w:rFonts w:eastAsia="David" w:hint="cs"/>
          <w:sz w:val="26"/>
          <w:szCs w:val="26"/>
          <w:rtl/>
        </w:rPr>
        <w:t>הוגשה ליו"ר הכנסת והסגנים</w:t>
      </w:r>
    </w:p>
    <w:p w14:paraId="1706FC3F" w14:textId="77777777" w:rsidR="00AE0AE3" w:rsidRDefault="007A2722" w:rsidP="006A3194">
      <w:pPr>
        <w:spacing w:line="240" w:lineRule="auto"/>
        <w:jc w:val="left"/>
      </w:pPr>
      <w:r>
        <w:rPr>
          <w:rFonts w:eastAsia="David" w:hint="cs"/>
          <w:sz w:val="26"/>
          <w:szCs w:val="26"/>
          <w:rtl/>
        </w:rPr>
        <w:t>והונחה על שולחן הכנסת ביום</w:t>
      </w:r>
    </w:p>
    <w:p w14:paraId="0207A833" w14:textId="77777777" w:rsidR="00AE0AE3" w:rsidRDefault="007A2722" w:rsidP="006A3194">
      <w:pPr>
        <w:spacing w:line="240" w:lineRule="auto"/>
        <w:jc w:val="left"/>
      </w:pPr>
      <w:r>
        <w:rPr>
          <w:rFonts w:eastAsia="David" w:hint="cs"/>
          <w:sz w:val="26"/>
          <w:szCs w:val="26"/>
          <w:rtl/>
        </w:rPr>
        <w:t xml:space="preserve">ט"ו בכסלו </w:t>
      </w:r>
      <w:proofErr w:type="spellStart"/>
      <w:r>
        <w:rPr>
          <w:rFonts w:eastAsia="David" w:hint="cs"/>
          <w:sz w:val="26"/>
          <w:szCs w:val="26"/>
          <w:rtl/>
        </w:rPr>
        <w:t>התשפ"ה</w:t>
      </w:r>
      <w:proofErr w:type="spellEnd"/>
      <w:r>
        <w:rPr>
          <w:rFonts w:eastAsia="David" w:hint="cs"/>
          <w:sz w:val="26"/>
          <w:szCs w:val="26"/>
          <w:rtl/>
        </w:rPr>
        <w:t xml:space="preserve"> (16.12.2024) </w:t>
      </w:r>
    </w:p>
    <w:p w14:paraId="5BFCF931" w14:textId="77777777" w:rsidR="00AE0AE3" w:rsidRDefault="00AE0AE3">
      <w:pPr>
        <w:spacing w:line="276" w:lineRule="auto"/>
        <w:jc w:val="left"/>
      </w:pPr>
    </w:p>
    <w:sectPr w:rsidR="00AE0AE3" w:rsidSect="009921FB">
      <w:footerReference w:type="even" r:id="rId11"/>
      <w:footerReference w:type="default" r:id="rId12"/>
      <w:pgSz w:w="11907" w:h="16840" w:code="9"/>
      <w:pgMar w:top="1701" w:right="1134" w:bottom="1417" w:left="1134" w:header="680" w:footer="680" w:gutter="0"/>
      <w:cols w:space="720"/>
      <w:noEndnote/>
      <w:titlePg/>
      <w:bidi/>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Malgun Gothic Semilight"/>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961D7" w14:textId="2830C105"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B619EB">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674C0" w14:textId="77777777" w:rsidR="00D142D3" w:rsidRDefault="00D142D3" w:rsidP="009921FB">
      <w:pPr>
        <w:ind w:left="0"/>
      </w:pPr>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55985FEA" w14:textId="77777777" w:rsidR="006C76B5" w:rsidRDefault="006C76B5" w:rsidP="006C76B5">
      <w:pPr>
        <w:pStyle w:val="a4"/>
      </w:pPr>
      <w:r>
        <w:rPr>
          <w:rStyle w:val="a6"/>
        </w:rPr>
        <w:footnoteRef/>
      </w:r>
      <w:r>
        <w:rPr>
          <w:rtl/>
        </w:rPr>
        <w:t xml:space="preserve"> </w:t>
      </w:r>
      <w:r>
        <w:rPr>
          <w:rFonts w:hint="cs"/>
          <w:rtl/>
        </w:rPr>
        <w:t xml:space="preserve">ס"ח </w:t>
      </w:r>
      <w:proofErr w:type="spellStart"/>
      <w:r>
        <w:rPr>
          <w:rFonts w:hint="cs"/>
          <w:rtl/>
        </w:rPr>
        <w:t>התש"ם</w:t>
      </w:r>
      <w:proofErr w:type="spellEnd"/>
      <w:r>
        <w:rPr>
          <w:rFonts w:hint="cs"/>
          <w:rtl/>
        </w:rPr>
        <w:t>, עמ' 210.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49435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A2E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E00D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D24B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1685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CA2E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EA33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8CFF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38A5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852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972A86"/>
    <w:multiLevelType w:val="hybridMultilevel"/>
    <w:tmpl w:val="0D5028AE"/>
    <w:lvl w:ilvl="0" w:tplc="FB92B18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B3B28B0"/>
    <w:multiLevelType w:val="hybridMultilevel"/>
    <w:tmpl w:val="41ACEA96"/>
    <w:lvl w:ilvl="0" w:tplc="06A8C010">
      <w:start w:val="1"/>
      <w:numFmt w:val="decimal"/>
      <w:pStyle w:val="TOC3"/>
      <w:lvlText w:val="%1."/>
      <w:lvlJc w:val="left"/>
      <w:pPr>
        <w:ind w:left="1287" w:hanging="360"/>
      </w:pPr>
      <w:rPr>
        <w:rFonts w:cs="David" w:hint="default"/>
        <w:bCs w:val="0"/>
        <w:iCs w:val="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753C544D"/>
    <w:multiLevelType w:val="hybridMultilevel"/>
    <w:tmpl w:val="C7443990"/>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1"/>
  </w:num>
  <w:num w:numId="14">
    <w:abstractNumId w:val="16"/>
  </w:num>
  <w:num w:numId="15">
    <w:abstractNumId w:val="13"/>
  </w:num>
  <w:num w:numId="16">
    <w:abstractNumId w:val="13"/>
    <w:lvlOverride w:ilvl="0">
      <w:startOverride w:val="1"/>
    </w:lvlOverride>
  </w:num>
  <w:num w:numId="17">
    <w:abstractNumId w:val="1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4B9B"/>
    <w:rsid w:val="0027600C"/>
    <w:rsid w:val="00292712"/>
    <w:rsid w:val="002A487D"/>
    <w:rsid w:val="002C2E29"/>
    <w:rsid w:val="002C3041"/>
    <w:rsid w:val="002D1EE3"/>
    <w:rsid w:val="002F1D80"/>
    <w:rsid w:val="003232A2"/>
    <w:rsid w:val="00325C14"/>
    <w:rsid w:val="0036422C"/>
    <w:rsid w:val="003710F6"/>
    <w:rsid w:val="00386E88"/>
    <w:rsid w:val="00396585"/>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B064E"/>
    <w:rsid w:val="005D51AE"/>
    <w:rsid w:val="0062674B"/>
    <w:rsid w:val="006363B2"/>
    <w:rsid w:val="00644940"/>
    <w:rsid w:val="006818A9"/>
    <w:rsid w:val="006A2D81"/>
    <w:rsid w:val="006A3194"/>
    <w:rsid w:val="006C1D0D"/>
    <w:rsid w:val="006C76B5"/>
    <w:rsid w:val="0070601E"/>
    <w:rsid w:val="00712C72"/>
    <w:rsid w:val="00735FE9"/>
    <w:rsid w:val="00763CAA"/>
    <w:rsid w:val="00765F66"/>
    <w:rsid w:val="0078664F"/>
    <w:rsid w:val="0079055F"/>
    <w:rsid w:val="007A2722"/>
    <w:rsid w:val="007A27CE"/>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921FB"/>
    <w:rsid w:val="009A0DB8"/>
    <w:rsid w:val="009A7257"/>
    <w:rsid w:val="009D6E0A"/>
    <w:rsid w:val="009E1E33"/>
    <w:rsid w:val="00A14672"/>
    <w:rsid w:val="00A26BD6"/>
    <w:rsid w:val="00A443CF"/>
    <w:rsid w:val="00A6611D"/>
    <w:rsid w:val="00A82CB7"/>
    <w:rsid w:val="00A942C1"/>
    <w:rsid w:val="00AA2F03"/>
    <w:rsid w:val="00AC36F7"/>
    <w:rsid w:val="00AC63A4"/>
    <w:rsid w:val="00AD239E"/>
    <w:rsid w:val="00AE0AE3"/>
    <w:rsid w:val="00B10265"/>
    <w:rsid w:val="00B16A99"/>
    <w:rsid w:val="00B21211"/>
    <w:rsid w:val="00B35784"/>
    <w:rsid w:val="00B619EB"/>
    <w:rsid w:val="00B733A7"/>
    <w:rsid w:val="00B75C91"/>
    <w:rsid w:val="00B975AD"/>
    <w:rsid w:val="00BC45FB"/>
    <w:rsid w:val="00BF148D"/>
    <w:rsid w:val="00C23B1A"/>
    <w:rsid w:val="00C310EB"/>
    <w:rsid w:val="00C9176A"/>
    <w:rsid w:val="00CA4DB1"/>
    <w:rsid w:val="00CF1AA2"/>
    <w:rsid w:val="00D142D3"/>
    <w:rsid w:val="00D17774"/>
    <w:rsid w:val="00D63620"/>
    <w:rsid w:val="00D8410D"/>
    <w:rsid w:val="00D867D7"/>
    <w:rsid w:val="00DB7060"/>
    <w:rsid w:val="00DE3153"/>
    <w:rsid w:val="00E06736"/>
    <w:rsid w:val="00E13C27"/>
    <w:rsid w:val="00E33BBD"/>
    <w:rsid w:val="00E374F2"/>
    <w:rsid w:val="00E45103"/>
    <w:rsid w:val="00E55A60"/>
    <w:rsid w:val="00E62778"/>
    <w:rsid w:val="00E635A2"/>
    <w:rsid w:val="00E63D38"/>
    <w:rsid w:val="00E665B9"/>
    <w:rsid w:val="00EA01E6"/>
    <w:rsid w:val="00EA3DE8"/>
    <w:rsid w:val="00EA758F"/>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D8CB935D-322F-4876-94E0-99320877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921FB"/>
    <w:pPr>
      <w:widowControl w:val="0"/>
      <w:bidi/>
      <w:spacing w:line="360" w:lineRule="auto"/>
      <w:ind w:left="340"/>
      <w:contextualSpacing/>
      <w:jc w:val="both"/>
    </w:pPr>
    <w:rPr>
      <w:rFonts w:ascii="David" w:eastAsiaTheme="minorHAnsi" w:hAnsi="David" w:cs="David"/>
      <w:sz w:val="24"/>
      <w:szCs w:val="24"/>
    </w:rPr>
  </w:style>
  <w:style w:type="paragraph" w:styleId="1">
    <w:name w:val="heading 1"/>
    <w:basedOn w:val="a"/>
    <w:next w:val="a"/>
    <w:link w:val="10"/>
    <w:uiPriority w:val="9"/>
    <w:qFormat/>
    <w:rsid w:val="009921FB"/>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nhideWhenUsed/>
    <w:qFormat/>
    <w:rsid w:val="009921FB"/>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nhideWhenUsed/>
    <w:qFormat/>
    <w:rsid w:val="009921FB"/>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9921FB"/>
    <w:pPr>
      <w:numPr>
        <w:numId w:val="18"/>
      </w:numPr>
      <w:spacing w:before="40" w:after="120"/>
      <w:outlineLvl w:val="3"/>
    </w:pPr>
    <w:rPr>
      <w:b/>
      <w:bCs/>
      <w:color w:val="000000" w:themeColor="text1"/>
      <w:szCs w:val="28"/>
    </w:rPr>
  </w:style>
  <w:style w:type="paragraph" w:styleId="5">
    <w:name w:val="heading 5"/>
    <w:basedOn w:val="a"/>
    <w:next w:val="a"/>
    <w:link w:val="50"/>
    <w:uiPriority w:val="9"/>
    <w:unhideWhenUsed/>
    <w:qFormat/>
    <w:rsid w:val="009921FB"/>
    <w:pPr>
      <w:spacing w:line="259" w:lineRule="auto"/>
      <w:outlineLvl w:val="4"/>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9921FB"/>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9921FB"/>
    <w:rPr>
      <w:sz w:val="36"/>
      <w:szCs w:val="52"/>
    </w:rPr>
  </w:style>
  <w:style w:type="paragraph" w:customStyle="1" w:styleId="Cover3-Haknesset">
    <w:name w:val="Cover 3-Haknesset"/>
    <w:basedOn w:val="Cover1-Reshumot"/>
    <w:rsid w:val="009921FB"/>
    <w:rPr>
      <w:b/>
      <w:bCs/>
      <w:spacing w:val="60"/>
    </w:rPr>
  </w:style>
  <w:style w:type="paragraph" w:customStyle="1" w:styleId="Cover4-Date">
    <w:name w:val="Cover 4-Date"/>
    <w:basedOn w:val="a"/>
    <w:rsid w:val="009921FB"/>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9921FB"/>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9921FB"/>
    <w:pPr>
      <w:keepNext/>
      <w:keepLines/>
      <w:snapToGrid w:val="0"/>
      <w:spacing w:before="240"/>
      <w:jc w:val="center"/>
      <w:outlineLvl w:val="0"/>
    </w:pPr>
    <w:rPr>
      <w:rFonts w:ascii="Arial" w:eastAsia="Arial Unicode MS" w:hAnsi="Arial"/>
      <w:b/>
      <w:bCs/>
      <w:snapToGrid w:val="0"/>
      <w:sz w:val="20"/>
      <w:szCs w:val="26"/>
    </w:rPr>
  </w:style>
  <w:style w:type="paragraph" w:customStyle="1" w:styleId="HeadHatzaotHok4Futer">
    <w:name w:val="Head HatzaotHok4Futer"/>
    <w:basedOn w:val="HeadHatzaotHok"/>
    <w:rsid w:val="009921FB"/>
    <w:pPr>
      <w:spacing w:before="120" w:after="120"/>
    </w:pPr>
    <w:rPr>
      <w:color w:val="FF0000"/>
      <w:w w:val="80"/>
    </w:rPr>
  </w:style>
  <w:style w:type="paragraph" w:styleId="a3">
    <w:name w:val="endnote text"/>
    <w:basedOn w:val="a"/>
    <w:semiHidden/>
    <w:rsid w:val="009921FB"/>
    <w:pPr>
      <w:ind w:left="227" w:hanging="227"/>
    </w:pPr>
    <w:rPr>
      <w:sz w:val="14"/>
      <w:szCs w:val="22"/>
    </w:rPr>
  </w:style>
  <w:style w:type="paragraph" w:customStyle="1" w:styleId="TableText">
    <w:name w:val="Table Text"/>
    <w:basedOn w:val="a"/>
    <w:rsid w:val="009921FB"/>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9921FB"/>
    <w:pPr>
      <w:outlineLvl w:val="2"/>
    </w:pPr>
  </w:style>
  <w:style w:type="paragraph" w:customStyle="1" w:styleId="TableBlock">
    <w:name w:val="Table Block"/>
    <w:basedOn w:val="TableText"/>
    <w:rsid w:val="009921FB"/>
    <w:pPr>
      <w:jc w:val="both"/>
    </w:pPr>
  </w:style>
  <w:style w:type="paragraph" w:customStyle="1" w:styleId="TableHead">
    <w:name w:val="Table Head"/>
    <w:basedOn w:val="TableText"/>
    <w:rsid w:val="009921FB"/>
    <w:pPr>
      <w:jc w:val="center"/>
      <w:outlineLvl w:val="1"/>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9921FB"/>
    <w:pPr>
      <w:outlineLvl w:val="9"/>
    </w:pPr>
  </w:style>
  <w:style w:type="paragraph" w:customStyle="1" w:styleId="Hesber">
    <w:name w:val="Hesber"/>
    <w:basedOn w:val="a"/>
    <w:rsid w:val="009921FB"/>
    <w:pPr>
      <w:snapToGrid w:val="0"/>
      <w:ind w:left="0" w:firstLine="340"/>
    </w:pPr>
    <w:rPr>
      <w:rFonts w:ascii="Arial" w:eastAsia="Arial Unicode MS" w:hAnsi="Arial"/>
      <w:snapToGrid w:val="0"/>
      <w:sz w:val="20"/>
      <w:szCs w:val="26"/>
    </w:rPr>
  </w:style>
  <w:style w:type="paragraph" w:styleId="a4">
    <w:name w:val="footnote text"/>
    <w:basedOn w:val="a"/>
    <w:link w:val="a5"/>
    <w:autoRedefine/>
    <w:semiHidden/>
    <w:rsid w:val="009921FB"/>
    <w:pPr>
      <w:snapToGrid w:val="0"/>
      <w:spacing w:line="240" w:lineRule="auto"/>
      <w:ind w:left="0"/>
      <w:jc w:val="left"/>
    </w:pPr>
    <w:rPr>
      <w:rFonts w:ascii="Arial" w:eastAsia="Arial Unicode MS" w:hAnsi="Arial"/>
      <w:snapToGrid w:val="0"/>
      <w:sz w:val="14"/>
      <w:szCs w:val="20"/>
    </w:rPr>
  </w:style>
  <w:style w:type="character" w:styleId="a6">
    <w:name w:val="footnote reference"/>
    <w:aliases w:val="Footnote Reference"/>
    <w:basedOn w:val="a0"/>
    <w:semiHidden/>
    <w:rsid w:val="009921FB"/>
    <w:rPr>
      <w:vertAlign w:val="superscript"/>
    </w:rPr>
  </w:style>
  <w:style w:type="paragraph" w:customStyle="1" w:styleId="HesberHeading">
    <w:name w:val="Hesber Heading"/>
    <w:basedOn w:val="Hesber"/>
    <w:rsid w:val="009921FB"/>
    <w:pPr>
      <w:tabs>
        <w:tab w:val="left" w:pos="624"/>
        <w:tab w:val="left" w:pos="1247"/>
      </w:tabs>
    </w:pPr>
    <w:rPr>
      <w:b/>
      <w:bCs/>
    </w:rPr>
  </w:style>
  <w:style w:type="paragraph" w:customStyle="1" w:styleId="HesberWriters">
    <w:name w:val="Hesber Writers"/>
    <w:basedOn w:val="Hesber"/>
    <w:rsid w:val="009921FB"/>
    <w:pPr>
      <w:spacing w:before="120" w:after="120"/>
      <w:ind w:left="1418"/>
      <w:jc w:val="right"/>
    </w:pPr>
    <w:rPr>
      <w:b/>
      <w:bCs/>
    </w:rPr>
  </w:style>
  <w:style w:type="paragraph" w:customStyle="1" w:styleId="Hesber1st">
    <w:name w:val="Hesber 1st"/>
    <w:basedOn w:val="Hesber"/>
    <w:rsid w:val="009921FB"/>
    <w:pPr>
      <w:tabs>
        <w:tab w:val="left" w:pos="680"/>
        <w:tab w:val="left" w:pos="1020"/>
      </w:tabs>
      <w:ind w:firstLine="0"/>
    </w:pPr>
  </w:style>
  <w:style w:type="character" w:styleId="a7">
    <w:name w:val="endnote reference"/>
    <w:basedOn w:val="a0"/>
    <w:semiHidden/>
    <w:rsid w:val="009921FB"/>
    <w:rPr>
      <w:vertAlign w:val="superscript"/>
    </w:rPr>
  </w:style>
  <w:style w:type="paragraph" w:customStyle="1" w:styleId="TableBlockOutdent">
    <w:name w:val="Table BlockOutdent"/>
    <w:basedOn w:val="TableBlock"/>
    <w:rsid w:val="009921FB"/>
    <w:pPr>
      <w:ind w:left="624" w:hanging="624"/>
    </w:pPr>
  </w:style>
  <w:style w:type="paragraph" w:styleId="a8">
    <w:name w:val="header"/>
    <w:basedOn w:val="a"/>
    <w:rsid w:val="009921FB"/>
    <w:pPr>
      <w:tabs>
        <w:tab w:val="center" w:pos="4153"/>
        <w:tab w:val="right" w:pos="8306"/>
      </w:tabs>
    </w:pPr>
  </w:style>
  <w:style w:type="paragraph" w:styleId="a9">
    <w:name w:val="footer"/>
    <w:basedOn w:val="a"/>
    <w:rsid w:val="009921FB"/>
    <w:pPr>
      <w:tabs>
        <w:tab w:val="center" w:pos="4153"/>
        <w:tab w:val="right" w:pos="8306"/>
      </w:tabs>
    </w:pPr>
  </w:style>
  <w:style w:type="paragraph" w:customStyle="1" w:styleId="HeadDivreiHesber">
    <w:name w:val="Head DivreiHesber"/>
    <w:basedOn w:val="a"/>
    <w:rsid w:val="009921FB"/>
    <w:pPr>
      <w:snapToGrid w:val="0"/>
      <w:spacing w:before="360" w:after="120"/>
      <w:jc w:val="center"/>
      <w:outlineLvl w:val="1"/>
    </w:pPr>
    <w:rPr>
      <w:rFonts w:ascii="Arial" w:eastAsia="Arial Unicode MS" w:hAnsi="Arial"/>
      <w:b/>
      <w:snapToGrid w:val="0"/>
      <w:spacing w:val="40"/>
      <w:sz w:val="20"/>
      <w:szCs w:val="26"/>
    </w:rPr>
  </w:style>
  <w:style w:type="paragraph" w:customStyle="1" w:styleId="Ragil">
    <w:name w:val="Ragil"/>
    <w:basedOn w:val="a"/>
    <w:rsid w:val="009921FB"/>
    <w:pPr>
      <w:snapToGrid w:val="0"/>
      <w:jc w:val="left"/>
    </w:pPr>
    <w:rPr>
      <w:rFonts w:ascii="Arial" w:eastAsia="Arial Unicode MS" w:hAnsi="Arial"/>
      <w:snapToGrid w:val="0"/>
      <w:sz w:val="20"/>
      <w:szCs w:val="26"/>
    </w:rPr>
  </w:style>
  <w:style w:type="paragraph" w:styleId="aa">
    <w:name w:val="Title"/>
    <w:basedOn w:val="a"/>
    <w:qFormat/>
    <w:rsid w:val="00943386"/>
    <w:pPr>
      <w:jc w:val="center"/>
    </w:pPr>
    <w:rPr>
      <w:b/>
      <w:bCs/>
      <w:sz w:val="28"/>
      <w:szCs w:val="28"/>
      <w:u w:val="single"/>
    </w:rPr>
  </w:style>
  <w:style w:type="character" w:styleId="ab">
    <w:name w:val="page number"/>
    <w:basedOn w:val="a0"/>
    <w:rsid w:val="009921FB"/>
  </w:style>
  <w:style w:type="paragraph" w:customStyle="1" w:styleId="David">
    <w:name w:val="רגיל + (עברית ושפות אחרות) David"/>
    <w:aliases w:val="‏13 נק',מודגש,אחרי:  6 נק'"/>
    <w:basedOn w:val="a"/>
    <w:rsid w:val="001207F8"/>
    <w:pPr>
      <w:jc w:val="left"/>
    </w:pPr>
    <w:rPr>
      <w:sz w:val="26"/>
      <w:szCs w:val="26"/>
    </w:rPr>
  </w:style>
  <w:style w:type="paragraph" w:styleId="ac">
    <w:name w:val="Balloon Text"/>
    <w:basedOn w:val="a"/>
    <w:link w:val="ad"/>
    <w:semiHidden/>
    <w:unhideWhenUsed/>
    <w:rsid w:val="00325C14"/>
    <w:pPr>
      <w:spacing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semiHidden/>
    <w:rsid w:val="00CA4DB1"/>
    <w:rPr>
      <w:rFonts w:ascii="Arial" w:eastAsia="Arial Unicode MS" w:hAnsi="Arial" w:cs="David"/>
      <w:snapToGrid w:val="0"/>
      <w:sz w:val="14"/>
    </w:rPr>
  </w:style>
  <w:style w:type="character" w:customStyle="1" w:styleId="10">
    <w:name w:val="כותרת 1 תו"/>
    <w:basedOn w:val="a0"/>
    <w:link w:val="1"/>
    <w:uiPriority w:val="9"/>
    <w:rsid w:val="009921FB"/>
    <w:rPr>
      <w:rFonts w:asciiTheme="majorHAnsi" w:eastAsiaTheme="majorEastAsia" w:hAnsiTheme="majorHAnsi" w:cs="David"/>
      <w:bCs/>
      <w:sz w:val="32"/>
      <w:szCs w:val="36"/>
    </w:rPr>
  </w:style>
  <w:style w:type="character" w:customStyle="1" w:styleId="20">
    <w:name w:val="כותרת 2 תו"/>
    <w:basedOn w:val="a0"/>
    <w:link w:val="2"/>
    <w:rsid w:val="009921FB"/>
    <w:rPr>
      <w:rFonts w:asciiTheme="majorHAnsi" w:eastAsiaTheme="majorEastAsia" w:hAnsiTheme="majorHAnsi" w:cs="David"/>
      <w:bCs/>
      <w:sz w:val="26"/>
      <w:szCs w:val="36"/>
      <w:u w:val="single"/>
    </w:rPr>
  </w:style>
  <w:style w:type="character" w:customStyle="1" w:styleId="30">
    <w:name w:val="כותרת 3 תו"/>
    <w:basedOn w:val="a0"/>
    <w:link w:val="3"/>
    <w:rsid w:val="009921FB"/>
    <w:rPr>
      <w:rFonts w:asciiTheme="majorHAnsi" w:eastAsiaTheme="majorEastAsia" w:hAnsiTheme="majorHAnsi" w:cs="David"/>
      <w:sz w:val="24"/>
      <w:szCs w:val="28"/>
      <w:u w:val="double"/>
    </w:rPr>
  </w:style>
  <w:style w:type="character" w:customStyle="1" w:styleId="40">
    <w:name w:val="כותרת 4 תו"/>
    <w:basedOn w:val="a0"/>
    <w:link w:val="4"/>
    <w:uiPriority w:val="9"/>
    <w:rsid w:val="009921FB"/>
    <w:rPr>
      <w:rFonts w:ascii="David" w:eastAsiaTheme="minorHAnsi" w:hAnsi="David" w:cs="David"/>
      <w:b/>
      <w:bCs/>
      <w:color w:val="000000" w:themeColor="text1"/>
      <w:sz w:val="24"/>
      <w:szCs w:val="28"/>
    </w:rPr>
  </w:style>
  <w:style w:type="character" w:customStyle="1" w:styleId="50">
    <w:name w:val="כותרת 5 תו"/>
    <w:basedOn w:val="a0"/>
    <w:link w:val="5"/>
    <w:uiPriority w:val="9"/>
    <w:rsid w:val="009921FB"/>
    <w:rPr>
      <w:rFonts w:ascii="David" w:eastAsiaTheme="minorHAnsi" w:hAnsi="David" w:cs="David"/>
      <w:color w:val="000000" w:themeColor="text1"/>
      <w:sz w:val="24"/>
      <w:szCs w:val="24"/>
    </w:rPr>
  </w:style>
  <w:style w:type="paragraph" w:styleId="ae">
    <w:name w:val="TOC Heading"/>
    <w:basedOn w:val="1"/>
    <w:next w:val="a"/>
    <w:uiPriority w:val="39"/>
    <w:unhideWhenUsed/>
    <w:qFormat/>
    <w:rsid w:val="009921FB"/>
    <w:pPr>
      <w:widowControl/>
      <w:spacing w:before="120" w:after="120"/>
      <w:outlineLvl w:val="9"/>
    </w:pPr>
    <w:rPr>
      <w:rtl/>
      <w:cs/>
    </w:rPr>
  </w:style>
  <w:style w:type="paragraph" w:styleId="TOC1">
    <w:name w:val="toc 1"/>
    <w:basedOn w:val="a"/>
    <w:next w:val="a"/>
    <w:autoRedefine/>
    <w:uiPriority w:val="39"/>
    <w:unhideWhenUsed/>
    <w:rsid w:val="009921FB"/>
    <w:pPr>
      <w:tabs>
        <w:tab w:val="right" w:leader="dot" w:pos="9629"/>
      </w:tabs>
      <w:spacing w:after="100"/>
    </w:pPr>
    <w:rPr>
      <w:bCs/>
      <w:szCs w:val="22"/>
    </w:rPr>
  </w:style>
  <w:style w:type="paragraph" w:styleId="TOC2">
    <w:name w:val="toc 2"/>
    <w:basedOn w:val="a"/>
    <w:next w:val="a"/>
    <w:uiPriority w:val="39"/>
    <w:unhideWhenUsed/>
    <w:rsid w:val="009921FB"/>
    <w:pPr>
      <w:tabs>
        <w:tab w:val="right" w:leader="dot" w:pos="9628"/>
      </w:tabs>
      <w:spacing w:after="100"/>
    </w:pPr>
    <w:rPr>
      <w:szCs w:val="22"/>
    </w:rPr>
  </w:style>
  <w:style w:type="character" w:styleId="Hyperlink">
    <w:name w:val="Hyperlink"/>
    <w:basedOn w:val="a0"/>
    <w:uiPriority w:val="99"/>
    <w:unhideWhenUsed/>
    <w:rsid w:val="009921FB"/>
    <w:rPr>
      <w:color w:val="0000FF" w:themeColor="hyperlink"/>
      <w:u w:val="single"/>
    </w:rPr>
  </w:style>
  <w:style w:type="paragraph" w:styleId="TOC3">
    <w:name w:val="toc 3"/>
    <w:basedOn w:val="a"/>
    <w:next w:val="a"/>
    <w:uiPriority w:val="39"/>
    <w:unhideWhenUsed/>
    <w:rsid w:val="009921FB"/>
    <w:pPr>
      <w:numPr>
        <w:numId w:val="21"/>
      </w:numPr>
      <w:tabs>
        <w:tab w:val="right" w:leader="dot" w:pos="9629"/>
      </w:tabs>
      <w:spacing w:after="100"/>
      <w:ind w:left="811" w:hanging="357"/>
    </w:pPr>
    <w:rPr>
      <w:szCs w:val="22"/>
    </w:rPr>
  </w:style>
  <w:style w:type="paragraph" w:styleId="TOC4">
    <w:name w:val="toc 4"/>
    <w:basedOn w:val="a"/>
    <w:next w:val="a"/>
    <w:autoRedefine/>
    <w:unhideWhenUsed/>
    <w:qFormat/>
    <w:rsid w:val="009921FB"/>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semiHidden/>
    <w:unhideWhenUsed/>
    <w:rsid w:val="009921FB"/>
    <w:pPr>
      <w:tabs>
        <w:tab w:val="right" w:leader="dot" w:pos="9628"/>
      </w:tabs>
      <w:spacing w:after="100"/>
      <w:ind w:left="567"/>
    </w:pPr>
    <w:rPr>
      <w:szCs w:val="22"/>
    </w:rPr>
  </w:style>
  <w:style w:type="paragraph" w:styleId="TOC6">
    <w:name w:val="toc 6"/>
    <w:basedOn w:val="a"/>
    <w:next w:val="a"/>
    <w:autoRedefine/>
    <w:semiHidden/>
    <w:unhideWhenUsed/>
    <w:rsid w:val="009921FB"/>
    <w:pPr>
      <w:spacing w:after="100"/>
      <w:ind w:left="850"/>
    </w:pPr>
  </w:style>
  <w:style w:type="paragraph" w:styleId="TOC7">
    <w:name w:val="toc 7"/>
    <w:basedOn w:val="a"/>
    <w:next w:val="a"/>
    <w:autoRedefine/>
    <w:semiHidden/>
    <w:unhideWhenUsed/>
    <w:rsid w:val="009921FB"/>
    <w:pPr>
      <w:spacing w:after="100"/>
      <w:ind w:left="1020"/>
    </w:pPr>
  </w:style>
  <w:style w:type="paragraph" w:styleId="TOC8">
    <w:name w:val="toc 8"/>
    <w:basedOn w:val="a"/>
    <w:next w:val="a"/>
    <w:autoRedefine/>
    <w:semiHidden/>
    <w:unhideWhenUsed/>
    <w:rsid w:val="009921FB"/>
    <w:pPr>
      <w:spacing w:after="100"/>
      <w:ind w:left="1190"/>
    </w:pPr>
  </w:style>
  <w:style w:type="paragraph" w:styleId="TOC9">
    <w:name w:val="toc 9"/>
    <w:basedOn w:val="a"/>
    <w:next w:val="a"/>
    <w:autoRedefine/>
    <w:semiHidden/>
    <w:unhideWhenUsed/>
    <w:rsid w:val="009921FB"/>
    <w:pPr>
      <w:spacing w:after="100"/>
      <w:ind w:left="1360"/>
    </w:pPr>
  </w:style>
  <w:style w:type="paragraph" w:customStyle="1" w:styleId="TableHead2">
    <w:name w:val="Table Head2"/>
    <w:basedOn w:val="TableHead"/>
    <w:qFormat/>
    <w:rsid w:val="009921FB"/>
    <w:pPr>
      <w:outlineLvl w:val="9"/>
    </w:pPr>
  </w:style>
  <w:style w:type="paragraph" w:customStyle="1" w:styleId="TableSideHeading2">
    <w:name w:val="Table SideHeading2"/>
    <w:basedOn w:val="TableSideHeading"/>
    <w:autoRedefine/>
    <w:qFormat/>
    <w:rsid w:val="009921FB"/>
    <w:pPr>
      <w:keepLines w:val="0"/>
      <w:outlineLvl w:val="9"/>
    </w:pPr>
  </w:style>
  <w:style w:type="paragraph" w:customStyle="1" w:styleId="0">
    <w:name w:val="סגנון שורה ראשונה:  0  ס''מ"/>
    <w:basedOn w:val="2"/>
    <w:rsid w:val="009921FB"/>
    <w:rPr>
      <w:rFonts w:eastAsia="Times New Roman"/>
    </w:rPr>
  </w:style>
  <w:style w:type="paragraph" w:styleId="af">
    <w:name w:val="List Paragraph"/>
    <w:basedOn w:val="a"/>
    <w:uiPriority w:val="34"/>
    <w:qFormat/>
    <w:rsid w:val="009921FB"/>
    <w:pPr>
      <w:widowControl/>
      <w:spacing w:line="259" w:lineRule="auto"/>
    </w:pPr>
    <w:rPr>
      <w:rFonts w:asciiTheme="minorHAnsi" w:hAnsiTheme="minorHAnsi"/>
      <w:sz w:val="22"/>
    </w:rPr>
  </w:style>
  <w:style w:type="table" w:styleId="af0">
    <w:name w:val="Table Grid"/>
    <w:basedOn w:val="a1"/>
    <w:rsid w:val="00992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9921F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9921F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1">
    <w:name w:val="טבלת חקיקה"/>
    <w:basedOn w:val="a1"/>
    <w:uiPriority w:val="99"/>
    <w:rsid w:val="009921FB"/>
    <w:pPr>
      <w:jc w:val="center"/>
    </w:pPr>
    <w:rPr>
      <w:rFonts w:cstheme="minorBidi"/>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3">
    <w:name w:val="סגנון1"/>
    <w:basedOn w:val="a1"/>
    <w:uiPriority w:val="99"/>
    <w:rsid w:val="009921FB"/>
    <w:tblPr/>
    <w:tblStylePr w:type="firstCol">
      <w:pPr>
        <w:keepNext w:val="0"/>
        <w:keepLines/>
        <w:pageBreakBefore w:val="0"/>
        <w:widowControl w:val="0"/>
        <w:suppressLineNumbers w:val="0"/>
        <w:suppressAutoHyphens w:val="0"/>
        <w:wordWrap/>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21212459419E7D46B23849C7CF4EBD4E" ma:contentTypeVersion="11" ma:contentTypeDescription="צור מסמך חדש." ma:contentTypeScope="" ma:versionID="7385a816fe2529dd47b21f76723b467e">
  <xsd:schema xmlns:xsd="http://www.w3.org/2001/XMLSchema" xmlns:xs="http://www.w3.org/2001/XMLSchema" xmlns:p="http://schemas.microsoft.com/office/2006/metadata/properties" xmlns:ns3="f9d3833b-f83c-4f5e-aee6-94e08a637e11" targetNamespace="http://schemas.microsoft.com/office/2006/metadata/properties" ma:root="true" ma:fieldsID="cce40b82eea050f8b8db6831b1b89837" ns3:_="">
    <xsd:import namespace="f9d3833b-f83c-4f5e-aee6-94e08a637e1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3833b-f83c-4f5e-aee6-94e08a637e1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88F4AFE3-9455-419C-8851-785A55F44517}">
  <ds:schemaRefs>
    <ds:schemaRef ds:uri="f9d3833b-f83c-4f5e-aee6-94e08a637e11"/>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elements/1.1/"/>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D24E9041-9EFD-4D5D-A6D3-6985F67B8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3833b-f83c-4f5e-aee6-94e08a637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6BDEAE-5C3E-4628-86D1-A602CEF14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1485</Characters>
  <Application>Microsoft Office Word</Application>
  <DocSecurity>4</DocSecurity>
  <Lines>12</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רשומות</vt:lpstr>
      <vt:lpstr>רשומות</vt:lpstr>
    </vt:vector>
  </TitlesOfParts>
  <Company>Knesset</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Gali Bessudo</cp:lastModifiedBy>
  <cp:revision>2</cp:revision>
  <cp:lastPrinted>2013-07-04T08:25:00Z</cp:lastPrinted>
  <dcterms:created xsi:type="dcterms:W3CDTF">2025-06-04T13:36:00Z</dcterms:created>
  <dcterms:modified xsi:type="dcterms:W3CDTF">2025-06-04T13:36:00Z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0x01010021212459419E7D46B23849C7CF4EBD4E</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2224634</vt:r8>
  </property>
</Properties>
</file>